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E9D4">
      <w:pPr>
        <w:jc w:val="center"/>
        <w:rPr>
          <w:rFonts w:hint="default" w:ascii="Times New Roman" w:hAnsi="Times New Roman" w:eastAsia="方正小标宋_GBK" w:cs="Times New Roman"/>
          <w:color w:val="000000"/>
          <w:sz w:val="44"/>
          <w:szCs w:val="44"/>
        </w:rPr>
      </w:pPr>
    </w:p>
    <w:p w14:paraId="13C21494">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rPr>
        <w:t>年度考试录用公务员</w:t>
      </w:r>
    </w:p>
    <w:p w14:paraId="3942C5CF">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公共科目</w:t>
      </w:r>
      <w:r>
        <w:rPr>
          <w:rFonts w:hint="eastAsia" w:ascii="Times New Roman" w:hAnsi="Times New Roman" w:eastAsia="方正小标宋_GBK" w:cs="Times New Roman"/>
          <w:color w:val="000000"/>
          <w:sz w:val="44"/>
          <w:szCs w:val="44"/>
          <w:lang w:eastAsia="zh-CN"/>
        </w:rPr>
        <w:t>笔试</w:t>
      </w:r>
      <w:r>
        <w:rPr>
          <w:rFonts w:hint="default" w:ascii="Times New Roman" w:hAnsi="Times New Roman" w:eastAsia="方正小标宋_GBK" w:cs="Times New Roman"/>
          <w:color w:val="000000"/>
          <w:sz w:val="44"/>
          <w:szCs w:val="44"/>
        </w:rPr>
        <w:t>考试大纲</w:t>
      </w:r>
    </w:p>
    <w:p w14:paraId="0B6035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38A4B2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w:t>
      </w:r>
    </w:p>
    <w:p w14:paraId="493C78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219E959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年度考试录用公务员公共科目笔试分为行政职业能力测验和申论两科，全部采用闭卷考试的方式。其中，行政职业能力测验为客观性试题，考试时限120分钟，满分100分。申论为主观性试题，</w:t>
      </w:r>
      <w:r>
        <w:rPr>
          <w:rFonts w:hint="eastAsia"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省市级和县</w:t>
      </w:r>
      <w:r>
        <w:rPr>
          <w:rFonts w:hint="eastAsia" w:ascii="Times New Roman" w:hAnsi="Times New Roman" w:eastAsia="仿宋_GB2312" w:cs="Times New Roman"/>
          <w:b w:val="0"/>
          <w:bCs w:val="0"/>
          <w:sz w:val="32"/>
          <w:szCs w:val="32"/>
        </w:rPr>
        <w:t>乡</w:t>
      </w:r>
      <w:r>
        <w:rPr>
          <w:rFonts w:hint="eastAsia" w:ascii="Times New Roman" w:hAnsi="Times New Roman" w:eastAsia="仿宋_GB2312" w:cs="Times New Roman"/>
          <w:b w:val="0"/>
          <w:bCs w:val="0"/>
          <w:sz w:val="32"/>
          <w:szCs w:val="32"/>
          <w:lang w:eastAsia="zh-CN"/>
        </w:rPr>
        <w:t>级两类</w:t>
      </w:r>
      <w:r>
        <w:rPr>
          <w:rFonts w:hint="eastAsia" w:ascii="Times New Roman" w:hAnsi="Times New Roman" w:eastAsia="仿宋_GB2312" w:cs="Times New Roman"/>
          <w:b w:val="0"/>
          <w:bCs w:val="0"/>
          <w:sz w:val="32"/>
          <w:szCs w:val="32"/>
        </w:rPr>
        <w:t>职位，分别命制试题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考试时限1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0分钟，满分100分。</w:t>
      </w:r>
    </w:p>
    <w:p w14:paraId="7EADE0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一、行政职业能力测验</w:t>
      </w:r>
    </w:p>
    <w:p w14:paraId="6CABC1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4DD5FE88">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（一）政治理论。</w:t>
      </w:r>
      <w:r>
        <w:rPr>
          <w:rFonts w:hint="eastAsia" w:ascii="Times New Roman" w:hAnsi="Times New Roman" w:eastAsia="仿宋_GB2312" w:cs="Times New Roman"/>
          <w:sz w:val="32"/>
          <w:szCs w:val="32"/>
        </w:rPr>
        <w:t>主要测查报考者学习理解掌握党的创新理论及党和国家方针政策的情况。</w:t>
      </w:r>
    </w:p>
    <w:p w14:paraId="7683714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2FC7DEF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①坚持把实现人民对美好生活的向往作为现代化建设的出发点和落脚点</w:t>
      </w:r>
    </w:p>
    <w:p w14:paraId="0763925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②共同富裕是社会主义的本质要求，是中国式现代化的重要特征</w:t>
      </w:r>
    </w:p>
    <w:p w14:paraId="49532B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③在物质文明方面超越西方发达国家，是中国式现代化的主要目标</w:t>
      </w:r>
    </w:p>
    <w:p w14:paraId="0E0A98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④遵循世界各国现代化的共同模式，是中国式现代化道路的基本经验</w:t>
      </w:r>
    </w:p>
    <w:p w14:paraId="1C5A134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⑤中国式现代化新道路，创造了人类文明新形态</w:t>
      </w:r>
    </w:p>
    <w:p w14:paraId="21DC57D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项</w:t>
      </w:r>
    </w:p>
    <w:p w14:paraId="287541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项</w:t>
      </w:r>
    </w:p>
    <w:p w14:paraId="7CF9FC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。①出自《高举中国特色社会主义伟大旗帜 为全面建设社会主义现代化国家而团结奋斗——在中国共产党第二十次全国代表大会上的报告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1990199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：发展必须是科学发展，必须坚定不移贯彻创新、协调、绿色、开放、共享的发展理念。下列与之有关的说法，正确的有几项？</w:t>
      </w:r>
    </w:p>
    <w:p w14:paraId="0D4062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①创新发展注重的是解决发展动力问题</w:t>
      </w:r>
    </w:p>
    <w:p w14:paraId="6CC03A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②协调发展注重的是解决社会公平正义问题</w:t>
      </w:r>
    </w:p>
    <w:p w14:paraId="1290D3D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③绿色发展注重的是解决人与自然和谐共生问题</w:t>
      </w:r>
    </w:p>
    <w:p w14:paraId="36035B9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④开放发展注重的是解决发展内外联动问题</w:t>
      </w:r>
    </w:p>
    <w:p w14:paraId="65E42E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⑤共享发展注重的是解决发展不平衡问题</w:t>
      </w:r>
    </w:p>
    <w:p w14:paraId="3D9168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项</w:t>
      </w:r>
    </w:p>
    <w:p w14:paraId="5D134E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项</w:t>
      </w:r>
    </w:p>
    <w:p w14:paraId="601CD9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7869367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：习近平总书记强调，全面建设社会主义现代化国家，扎实推进共同富裕，最艰巨最繁重的任务仍然在农村，必须逐步缩小城乡差距。下列表述符合当前党和国家政策精神的是：</w:t>
      </w:r>
    </w:p>
    <w:p w14:paraId="18648C1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①积极推进以建制镇为重要载体的新型城镇化建设，构建以建制镇为枢纽的县域经济体系</w:t>
      </w:r>
    </w:p>
    <w:p w14:paraId="50FAF1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②持续实施动态监测，不断增强脱贫地区内生发展动力，坚决守住不发生规模性返贫的底线</w:t>
      </w:r>
    </w:p>
    <w:p w14:paraId="7EC0A8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③因地制宜大力发展特色产业，推进农村一二三产业融合发展</w:t>
      </w:r>
    </w:p>
    <w:p w14:paraId="7C2E3F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④持续深化农村人居环境整治，加强传统村落和乡村特色风貌保护，加强农村精神文明建设</w:t>
      </w:r>
    </w:p>
    <w:p w14:paraId="2ECBFA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．①②③</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．①②④</w:t>
      </w:r>
    </w:p>
    <w:p w14:paraId="2CDF57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．①③④</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．②③④</w:t>
      </w:r>
    </w:p>
    <w:p w14:paraId="0476002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①错误。②③④表述均正确。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7A0F65E8">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（二）常识判断。</w:t>
      </w:r>
      <w:r>
        <w:rPr>
          <w:rFonts w:hint="eastAsia"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14:paraId="020284D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：下列毛泽东诗词与创作背景对应正确的是：</w:t>
      </w:r>
    </w:p>
    <w:p w14:paraId="79F47A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．宜将剩勇追穷寇，不可沽名学霸王</w:t>
      </w:r>
      <w:r>
        <w:rPr>
          <w:rFonts w:hint="default" w:ascii="Times New Roman" w:hAnsi="Times New Roman" w:eastAsia="仿宋_GB2312" w:cs="Times New Roman"/>
          <w:sz w:val="32"/>
          <w:szCs w:val="32"/>
        </w:rPr>
        <w:t>——1949</w:t>
      </w:r>
      <w:r>
        <w:rPr>
          <w:rFonts w:hint="eastAsia" w:ascii="Times New Roman" w:hAnsi="Times New Roman" w:eastAsia="仿宋_GB2312" w:cs="Times New Roman"/>
          <w:sz w:val="32"/>
          <w:szCs w:val="32"/>
        </w:rPr>
        <w:t>年解放南京</w:t>
      </w:r>
    </w:p>
    <w:p w14:paraId="1205992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．三十八年过去，弹指一挥间。可上九天揽月，可下五洋捉鳖，谈笑凯歌还</w:t>
      </w:r>
      <w:r>
        <w:rPr>
          <w:rFonts w:hint="default" w:ascii="Times New Roman" w:hAnsi="Times New Roman" w:eastAsia="仿宋_GB2312" w:cs="Times New Roman"/>
          <w:sz w:val="32"/>
          <w:szCs w:val="32"/>
        </w:rPr>
        <w:t>——1941</w:t>
      </w:r>
      <w:r>
        <w:rPr>
          <w:rFonts w:hint="eastAsia" w:ascii="Times New Roman" w:hAnsi="Times New Roman" w:eastAsia="仿宋_GB2312" w:cs="Times New Roman"/>
          <w:sz w:val="32"/>
          <w:szCs w:val="32"/>
        </w:rPr>
        <w:t>年延安整风运动</w:t>
      </w:r>
    </w:p>
    <w:p w14:paraId="6522A85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．军叫工农革命，旗号镰刀斧头。匡庐一带不停留，要向潇湘直进</w:t>
      </w:r>
      <w:r>
        <w:rPr>
          <w:rFonts w:hint="default" w:ascii="Times New Roman" w:hAnsi="Times New Roman" w:eastAsia="仿宋_GB2312" w:cs="Times New Roman"/>
          <w:sz w:val="32"/>
          <w:szCs w:val="32"/>
        </w:rPr>
        <w:t>——1948</w:t>
      </w:r>
      <w:r>
        <w:rPr>
          <w:rFonts w:hint="eastAsia" w:ascii="Times New Roman" w:hAnsi="Times New Roman" w:eastAsia="仿宋_GB2312" w:cs="Times New Roman"/>
          <w:sz w:val="32"/>
          <w:szCs w:val="32"/>
        </w:rPr>
        <w:t>年淮海战役</w:t>
      </w:r>
    </w:p>
    <w:p w14:paraId="022464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．金沙水拍云崖暖，大渡桥横铁索寒</w:t>
      </w:r>
      <w:r>
        <w:rPr>
          <w:rFonts w:hint="default" w:ascii="Times New Roman" w:hAnsi="Times New Roman" w:eastAsia="仿宋_GB2312" w:cs="Times New Roman"/>
          <w:sz w:val="32"/>
          <w:szCs w:val="32"/>
        </w:rPr>
        <w:t>——1930</w:t>
      </w:r>
      <w:r>
        <w:rPr>
          <w:rFonts w:hint="eastAsia" w:ascii="Times New Roman" w:hAnsi="Times New Roman" w:eastAsia="仿宋_GB2312" w:cs="Times New Roman"/>
          <w:sz w:val="32"/>
          <w:szCs w:val="32"/>
        </w:rPr>
        <w:t>年第一次反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围剿</w:t>
      </w:r>
      <w:r>
        <w:rPr>
          <w:rFonts w:hint="default" w:ascii="Times New Roman" w:hAnsi="Times New Roman" w:eastAsia="仿宋_GB2312" w:cs="Times New Roman"/>
          <w:sz w:val="32"/>
          <w:szCs w:val="32"/>
        </w:rPr>
        <w:t>”</w:t>
      </w:r>
    </w:p>
    <w:p w14:paraId="56ADB58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选项，出自《七律·人民解放军占领南京》。</w:t>
      </w:r>
      <w:r>
        <w:rPr>
          <w:rFonts w:hint="default" w:ascii="Times New Roman" w:hAnsi="Times New Roman" w:eastAsia="仿宋_GB2312" w:cs="Times New Roman"/>
          <w:sz w:val="32"/>
          <w:szCs w:val="32"/>
        </w:rPr>
        <w:t>1949</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rPr>
        <w:t>23</w:t>
      </w:r>
      <w:r>
        <w:rPr>
          <w:rFonts w:hint="eastAsia" w:ascii="Times New Roman" w:hAnsi="Times New Roman" w:eastAsia="仿宋_GB2312" w:cs="Times New Roman"/>
          <w:sz w:val="32"/>
          <w:szCs w:val="32"/>
        </w:rPr>
        <w:t>日，解放军占领国民党统治中心南京，宣告延续</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rPr>
        <w:t>年的国民党反动统治覆灭。毛泽东得知捷报后，写下《七律·人民解放军占领南京》，用“宜将剩勇追穷寇，不可沽名学霸王”表达了将革命进行到底的决心。故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选项，出自《水调歌头·重上井冈山》。</w:t>
      </w:r>
      <w:r>
        <w:rPr>
          <w:rFonts w:hint="default" w:ascii="Times New Roman" w:hAnsi="Times New Roman" w:eastAsia="仿宋_GB2312" w:cs="Times New Roman"/>
          <w:sz w:val="32"/>
          <w:szCs w:val="32"/>
        </w:rPr>
        <w:t>1927</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月，毛泽东率秋收起义部队上井冈山，开辟了工农武装割据的道路。</w:t>
      </w:r>
      <w:r>
        <w:rPr>
          <w:rFonts w:hint="default" w:ascii="Times New Roman" w:hAnsi="Times New Roman" w:eastAsia="仿宋_GB2312" w:cs="Times New Roman"/>
          <w:sz w:val="32"/>
          <w:szCs w:val="32"/>
        </w:rPr>
        <w:t>1965</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月，毛泽东又重上井冈山，写下这首词。故</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选项，出自《西江月·</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秋收起义》。</w:t>
      </w:r>
      <w:r>
        <w:rPr>
          <w:rFonts w:hint="default" w:ascii="Times New Roman" w:hAnsi="Times New Roman" w:eastAsia="仿宋_GB2312" w:cs="Times New Roman"/>
          <w:sz w:val="32"/>
          <w:szCs w:val="32"/>
        </w:rPr>
        <w:t>1927</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rPr>
        <w:t>月，毛泽东领导发动了秋收起义，在起义后几天写下了这首词。故</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错误。</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选项，出自《七律·长征》。该诗作于</w:t>
      </w:r>
      <w:r>
        <w:rPr>
          <w:rFonts w:hint="default" w:ascii="Times New Roman" w:hAnsi="Times New Roman" w:eastAsia="仿宋_GB2312" w:cs="Times New Roman"/>
          <w:sz w:val="32"/>
          <w:szCs w:val="32"/>
        </w:rPr>
        <w:t>1935</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月红军战士越过岷山后、长征即将胜利结束前不久的途中。长征是</w:t>
      </w:r>
      <w:r>
        <w:rPr>
          <w:rFonts w:hint="default" w:ascii="Times New Roman" w:hAnsi="Times New Roman" w:eastAsia="仿宋_GB2312" w:cs="Times New Roman"/>
          <w:sz w:val="32"/>
          <w:szCs w:val="32"/>
        </w:rPr>
        <w:t>1934</w:t>
      </w:r>
      <w:r>
        <w:rPr>
          <w:rFonts w:hint="eastAsia" w:ascii="Times New Roman" w:hAnsi="Times New Roman" w:eastAsia="仿宋_GB2312" w:cs="Times New Roman"/>
          <w:sz w:val="32"/>
          <w:szCs w:val="32"/>
        </w:rPr>
        <w:t>年第五次反“围剿”失败后开始的。故</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错误。因此，正确答案为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1AF21B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：白居易有诗云：“绿蚁新醅酒，红泥小火炉。晚来天欲雪，能饮一杯无？”下列与该诗相关的说法正确的是：</w:t>
      </w:r>
    </w:p>
    <w:p w14:paraId="24097F6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醅酒</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的过程利用了微生物的作用</w:t>
      </w:r>
    </w:p>
    <w:p w14:paraId="42F1F7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绿蚁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是因为酒中添加了可食用调色剂</w:t>
      </w:r>
    </w:p>
    <w:p w14:paraId="150EA8A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w:t>
      </w:r>
      <w:r>
        <w:rPr>
          <w:rFonts w:hint="eastAsia" w:ascii="Times New Roman" w:hAnsi="Times New Roman" w:eastAsia="仿宋_GB2312" w:cs="Times New Roman"/>
          <w:sz w:val="32"/>
          <w:szCs w:val="32"/>
        </w:rPr>
        <w:t>．炉火燃烧的过程是内能转化成化学能</w:t>
      </w:r>
    </w:p>
    <w:p w14:paraId="3BD50BF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．从雪到水的转化过程会释放出热量</w:t>
      </w:r>
    </w:p>
    <w:p w14:paraId="0A3085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。醅酒过程要发酵，发酵需要利用到微生物，</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选项表述正确。</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绿蚁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是酒在发酵后未经过滤，由酒曲、粮食等物质形成的，</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选项表述错误。炉火燃烧过程中化学能转化成内能，</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选项表述错误。雪到水的转化过程会吸收热量，</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选项表述错误。因此，正确答案为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08918C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：关于常见气体的工业制备方法，下列说法错误的是：</w:t>
      </w:r>
    </w:p>
    <w:p w14:paraId="3140B4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．木炭和二氧化碳可以作为制备一氧化碳的原料</w:t>
      </w:r>
    </w:p>
    <w:p w14:paraId="6DEFEE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．电解水时制备得到的氢气体积比氧气体积更大</w:t>
      </w:r>
    </w:p>
    <w:p w14:paraId="43AAA15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．通过低温液化的方法可以分离出沼气中的甲烷</w:t>
      </w:r>
    </w:p>
    <w:p w14:paraId="28853D1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．高温煅烧石灰石制备二氧化碳属于复分解反应</w:t>
      </w:r>
    </w:p>
    <w:p w14:paraId="2C1020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。碳（木炭）和二氧化碳在高温下发生反应生成一氧化碳，故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正确。在充满电解液的电解槽中通入直流电，水分子在电极上发生电化学反应生成氧气和氢气，得到的氢气是氧气体积的两倍，故</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正确。低温分离是使气体混合物通过压缩、冷却、膨胀等操作在低温下液化将其各个成分分离的过程，利用了各个成分沸点的不同，故</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正确。复分解反应是由两种化合物互相交换成分的反应，高温煅烧石灰石制备二氧化碳属于分解反应，故</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错误。因此，正确答案为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25A75BD9">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（三）言语理解与表达。</w:t>
      </w:r>
      <w:r>
        <w:rPr>
          <w:rFonts w:hint="eastAsia"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68312F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：中国道路的成功开创不仅创造了中国奇迹，而且创造了中国经验。中国经验无疑是中国智慧的结晶，具有鲜明的</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1D70B5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2E0BDC9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．地域性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国际性</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．实践性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理论性</w:t>
      </w:r>
    </w:p>
    <w:p w14:paraId="4BB227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．先进性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创新性</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．特殊性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普遍性</w:t>
      </w:r>
    </w:p>
    <w:p w14:paraId="5BA962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18C2F9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：准确、权威的信息不及时传播，虚假、歪曲的信息就会搞乱人心；积极、正确的思想舆论不发展壮大，消极、错误的言论观点就会肆虐</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。这方面，主流媒体守土有责，更要守土尽责，及时提供更多真实客观、观点鲜明的信息内容，牢牢</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舆论场主动权和主导权。主流媒体要敢于引导、善于疏导，原则问题要旗帜鲜明、立场坚定，一点都不能</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1C14629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185C3E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．蔓延</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守护</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犹豫</w:t>
      </w:r>
    </w:p>
    <w:p w14:paraId="50B4CB2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．扩散</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占据</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退缩</w:t>
      </w:r>
    </w:p>
    <w:p w14:paraId="05CC46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．泛滥</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掌握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含糊</w:t>
      </w:r>
    </w:p>
    <w:p w14:paraId="36938E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．滋生</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控制</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迟疑</w:t>
      </w:r>
    </w:p>
    <w:p w14:paraId="3C68E9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4F7C3B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万物各得其和以生，各得其养以成。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这方面有很多鲜活生动的事例。始建于战国时期的都江堰，距今已有</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多年历史，就是根据岷江的洪涝规律和成都平原悬江的地势特点，</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建设的大型生态水利工程，不仅造福当时，而且</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10DD30D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2E9BF08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．物尽其用</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历久弥新</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．因地制宜</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经久不衰</w:t>
      </w:r>
    </w:p>
    <w:p w14:paraId="1E6FB8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．顺势而为</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利在千秋</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泽被后世</w:t>
      </w:r>
    </w:p>
    <w:p w14:paraId="7AD6C6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。这段文字以都江堰为例，说明了建设应顺应当地的地形特点并加以利用。第一空，根据前句可知都江堰主要是依据洪涝规律和地势特点建成的，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因地制宜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符合语境；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物尽其用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指充分发挥各种东西的功用，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顺势而为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指顺应时势而行动，不符合语境。第二空，根据前句可知，横线处要表达对后人的影响也很大，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泽被后世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利在千秋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符合语境；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历久弥新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指经历很长时间反而更加鲜活、更加有活力，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经久不衰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指持续很长时间也不衰减，不符合语境。综上，应填入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泽被后世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2CB279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43B5095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文段最后一句话中的“这”指的是：</w:t>
      </w:r>
    </w:p>
    <w:p w14:paraId="5EBEE8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．自然共同体意识的树立</w:t>
      </w:r>
      <w:r>
        <w:rPr>
          <w:rFonts w:hint="default" w:ascii="Times New Roman" w:hAnsi="Times New Roman" w:eastAsia="仿宋_GB2312" w:cs="Times New Roman"/>
          <w:sz w:val="32"/>
          <w:szCs w:val="32"/>
        </w:rPr>
        <w:t> </w:t>
      </w:r>
    </w:p>
    <w:p w14:paraId="2ED7A25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．对自然共同体的义务</w:t>
      </w:r>
    </w:p>
    <w:p w14:paraId="4F9E42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．热爱自然的感情</w:t>
      </w:r>
      <w:r>
        <w:rPr>
          <w:rFonts w:hint="default" w:ascii="Times New Roman" w:hAnsi="Times New Roman" w:eastAsia="仿宋_GB2312" w:cs="Times New Roman"/>
          <w:sz w:val="32"/>
          <w:szCs w:val="32"/>
        </w:rPr>
        <w:t>        </w:t>
      </w:r>
    </w:p>
    <w:p w14:paraId="344D98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．重建人与自然关系的愿望</w:t>
      </w:r>
    </w:p>
    <w:p w14:paraId="14CB7D2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，也依赖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”，即实现这种意识的条件。因此，可知“这”指的是“自然共同体意识的树立”，正确答案为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6C491C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14:paraId="22A04D2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这段文字意在说明：</w:t>
      </w:r>
    </w:p>
    <w:p w14:paraId="1888721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．我们悠久的历史是各民族共同书写的</w:t>
      </w:r>
    </w:p>
    <w:p w14:paraId="3A1CA48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．我们辽阔的疆域是各民族共同开拓的</w:t>
      </w:r>
    </w:p>
    <w:p w14:paraId="2E288B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．我们灿烂的文化是各民族共同创造的</w:t>
      </w:r>
    </w:p>
    <w:p w14:paraId="0826AA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．我们伟大的精神是各民族共同培育的</w:t>
      </w:r>
    </w:p>
    <w:p w14:paraId="35B57D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707E4F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：戴口罩等遮挡条件下的人脸识别其实是一项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技术，此前研究人员在解决军事刑侦和视频监控问题时就曾长期研究过该技术，并发展出诸多成熟应用。因此，</w:t>
      </w:r>
      <w:r>
        <w:rPr>
          <w:rFonts w:hint="default" w:ascii="Times New Roman" w:hAnsi="Times New Roman" w:eastAsia="仿宋_GB2312" w:cs="Times New Roman"/>
          <w:sz w:val="32"/>
          <w:szCs w:val="32"/>
        </w:rPr>
        <w:t>____________________</w:t>
      </w:r>
      <w:r>
        <w:rPr>
          <w:rFonts w:hint="eastAsia" w:ascii="Times New Roman" w:hAnsi="Times New Roman" w:eastAsia="仿宋_GB2312" w:cs="Times New Roman"/>
          <w:sz w:val="32"/>
          <w:szCs w:val="32"/>
        </w:rPr>
        <w:t>。但是以往的技术基础并没有完全打消人们对戴口罩人脸识别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先天不足</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的顾虑。相较于以往，口罩遮挡住面部，使得人脸识别系统收集到的面部信息大量减少。不过研究表明，人脸识别的关键信息集中于眉毛和眼睛，只要模型训练得当，戴口罩人脸识别的准确率并不会大幅下降。</w:t>
      </w:r>
    </w:p>
    <w:p w14:paraId="760B3F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填入画横线部分最恰当的一项是：</w:t>
      </w:r>
    </w:p>
    <w:p w14:paraId="041C8E1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．提高识别精度才是这一技术的难点所在</w:t>
      </w:r>
    </w:p>
    <w:p w14:paraId="3415DF4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．该技术的稳定性和准确率是有一定基础的</w:t>
      </w:r>
    </w:p>
    <w:p w14:paraId="4E8D3D8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．人脸识别技术已经被广泛应用于各个领域</w:t>
      </w:r>
    </w:p>
    <w:p w14:paraId="6E8E81E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．人脸识别并不需要对全脸进行整体识别</w:t>
      </w:r>
    </w:p>
    <w:p w14:paraId="101A25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。这段文字谈的是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戴口罩人脸识别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问题。首句说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戴口罩等遮挡条件下的人脸识别其实是一项老技术，此前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。横线后面说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但是以往的技术基础并没有完全打消人们对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的顾虑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，并以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相较于以往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具体说明原因，最后一句则以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不过研究表明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介绍最新研究成果，给出乐观的结论。因此，横线处最适合填入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该技术的稳定性和准确率是有一定基础的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4B8AB7F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337C27A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76A8BB6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rFonts w:hint="default" w:ascii="Times New Roman" w:hAnsi="Times New Roman" w:eastAsia="仿宋_GB2312" w:cs="Times New Roman"/>
          <w:sz w:val="32"/>
          <w:szCs w:val="32"/>
        </w:rPr>
        <w:t>①</w:t>
      </w:r>
    </w:p>
    <w:p w14:paraId="01BD92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悬钟所城中，保存着</w:t>
      </w:r>
      <w:r>
        <w:rPr>
          <w:rFonts w:hint="default" w:ascii="Times New Roman" w:hAnsi="Times New Roman" w:eastAsia="仿宋_GB2312" w:cs="Times New Roman"/>
          <w:sz w:val="32"/>
          <w:szCs w:val="32"/>
        </w:rPr>
        <w:t>29</w:t>
      </w:r>
      <w:r>
        <w:rPr>
          <w:rFonts w:hint="eastAsia" w:ascii="Times New Roman" w:hAnsi="Times New Roman" w:eastAsia="仿宋_GB2312" w:cs="Times New Roman"/>
          <w:sz w:val="32"/>
          <w:szCs w:val="32"/>
        </w:rPr>
        <w:t>通明代海防卫所将领巡视当地海防时留下的摩崖石刻，是目前我国数量最多、保存最为完整的明代海防官兵石刻文书，集中展现了明代东南沿海卫所的社会网络与文化活动。</w:t>
      </w:r>
      <w:r>
        <w:rPr>
          <w:rFonts w:hint="default" w:ascii="Times New Roman" w:hAnsi="Times New Roman" w:eastAsia="仿宋_GB2312" w:cs="Times New Roman"/>
          <w:sz w:val="32"/>
          <w:szCs w:val="32"/>
        </w:rPr>
        <w:t>②</w:t>
      </w:r>
    </w:p>
    <w:p w14:paraId="5D4CAD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还有相当一部分海洋石刻遗产属于海洋生产与管理类别。典型者如泉州九日山上保存的</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通宋代海交祈风石刻，是记载宋代泉州当地的海洋航行仪式习俗的珍贵石刻资料，也是历史上海上丝绸之路的重要记录。同样，在福建沿海不少港湾地区，还保留有大量的明清时期的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坞界碑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，这些也是反映当地海洋生产的石刻记录。此外，一部分海洋石刻还涉及历代官府对于海洋的管理或当地社区对于海洋活动的习俗规定。</w:t>
      </w:r>
      <w:r>
        <w:rPr>
          <w:rFonts w:hint="default" w:ascii="Times New Roman" w:hAnsi="Times New Roman" w:eastAsia="仿宋_GB2312" w:cs="Times New Roman"/>
          <w:sz w:val="32"/>
          <w:szCs w:val="32"/>
        </w:rPr>
        <w:t>③</w:t>
      </w:r>
    </w:p>
    <w:p w14:paraId="5C1724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rFonts w:hint="default" w:ascii="Times New Roman" w:hAnsi="Times New Roman" w:eastAsia="仿宋_GB2312" w:cs="Times New Roman"/>
          <w:sz w:val="32"/>
          <w:szCs w:val="32"/>
        </w:rPr>
        <w:t>④</w:t>
      </w:r>
    </w:p>
    <w:p w14:paraId="6C2A3EB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勒石示禁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的习俗，使得绝大多数的涉海示禁碑，都要竖立在渡口、海港、渔村等醒目的公共空间，从而暴露在自然界中，容易遭受台风、海啸、海水酸化侵蚀等海洋灾害带来的严重损害。</w:t>
      </w:r>
    </w:p>
    <w:p w14:paraId="25AB2ED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）下面这段文字，最适合填入文中的哪个位置？</w:t>
      </w:r>
    </w:p>
    <w:p w14:paraId="0BDE38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如我们在福建诏安地区调查时，发现了一通乾隆年间反映地方官府对于船户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烙号刊名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的示禁碑。在这块碑文中，清楚地载明严禁当地澳甲等海洋管理人员利用印烙船号的机会苛索船户费用的内容，展现了清代前期地方官员对于海洋的治理。</w:t>
      </w:r>
    </w:p>
    <w:p w14:paraId="03D38F7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①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②</w:t>
      </w:r>
    </w:p>
    <w:p w14:paraId="6DD18E8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③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④</w:t>
      </w:r>
    </w:p>
    <w:p w14:paraId="2E5FAEA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。这段文字主要是说“展现了清代前期地方官员对于海洋的治理”。原文中与之最密切相关的，是“海洋生产与管理类别……”一段，由此可知，应该放在③处。因此，正确答案为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1A7368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）第二段中提到东南沿海一带贝丘遗址中的太阳崇拜石刻，意在证明：</w:t>
      </w:r>
    </w:p>
    <w:p w14:paraId="526BDE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．海洋石刻艺术历史悠久</w:t>
      </w:r>
    </w:p>
    <w:p w14:paraId="29A37D1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．当地文化起源于原始崇拜</w:t>
      </w:r>
    </w:p>
    <w:p w14:paraId="47E14FA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．沿海地区很早就频繁利用海洋</w:t>
      </w:r>
    </w:p>
    <w:p w14:paraId="12C9792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．海洋石刻最初以太阳崇拜为内容</w:t>
      </w:r>
    </w:p>
    <w:p w14:paraId="4DB4577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。根据文段“早在新石器时期，滨海地带生活的早期人类就已经开始利用石头作为表述工具”，说明贝丘遗址中的太阳崇拜石刻这一例证是为了证明“海洋石刻艺术历史悠久”。因此，正确答案为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53241A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）这篇文章中提到的海洋石刻遗产与关键词对应错误的是：</w:t>
      </w:r>
    </w:p>
    <w:p w14:paraId="067753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．悬钟所城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卫所、摩崖石刻</w:t>
      </w:r>
    </w:p>
    <w:p w14:paraId="11D1105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祈风仪式、唐代</w:t>
      </w:r>
    </w:p>
    <w:p w14:paraId="206321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．天后宫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海神、海洋宗教文化</w:t>
      </w:r>
    </w:p>
    <w:p w14:paraId="64B24A2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．坞界碑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海洋生产、明清时期</w:t>
      </w:r>
    </w:p>
    <w:p w14:paraId="25EAE7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出现在以下语句中：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典型者如泉州九日山上保存的</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通宋代海交祈风石刻，是记载宋代泉州当地的海洋航行仪式习俗的珍贵石刻资料，也是历史上海上丝绸之路的重要记录。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可知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祈风仪式、唐代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的对应中，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唐代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是错误的，应该是宋代。因此，正确答案为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096C29C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）这篇文章接下来最可能谈论：</w:t>
      </w:r>
    </w:p>
    <w:p w14:paraId="6439EC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．古代海洋石刻的常用工具</w:t>
      </w:r>
    </w:p>
    <w:p w14:paraId="7DF6D1A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．海洋石刻作为文化记忆的事例</w:t>
      </w:r>
    </w:p>
    <w:p w14:paraId="2D8BC6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．海洋石刻遗产的保护举措</w:t>
      </w:r>
    </w:p>
    <w:p w14:paraId="5303B9E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．与其他国家海洋石刻遗产的比较</w:t>
      </w:r>
    </w:p>
    <w:p w14:paraId="6355ED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531F37E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）最适合做这篇文章标题的是：</w:t>
      </w:r>
    </w:p>
    <w:p w14:paraId="72FA91D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．古代海洋石刻：海洋文明兴衰的见证</w:t>
      </w:r>
    </w:p>
    <w:p w14:paraId="6F0515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．海洋石刻遗产：海洋文明的记忆镌刻</w:t>
      </w:r>
    </w:p>
    <w:p w14:paraId="6766482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．沿海地区的记忆坐标：海洋石刻文书</w:t>
      </w:r>
    </w:p>
    <w:p w14:paraId="52CA8C9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．复原海洋记忆的钥匙：海洋石刻发掘</w:t>
      </w:r>
    </w:p>
    <w:p w14:paraId="076853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。“海洋石刻遗产”是全文核心，通过海洋石刻遗产探索海洋文明，因此，最适合做这篇文章标题的是“海洋石刻遗产：海洋文明的记忆镌刻”。因此，正确答案为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416E6418">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（四）数量关系。</w:t>
      </w:r>
      <w:r>
        <w:rPr>
          <w:rFonts w:hint="eastAsia" w:ascii="Times New Roman" w:hAnsi="Times New Roman" w:eastAsia="仿宋_GB2312" w:cs="Times New Roman"/>
          <w:sz w:val="32"/>
          <w:szCs w:val="32"/>
        </w:rPr>
        <w:t>主要测查报考者理解、把握事物间量化关系和解决数量关系问题的能力，主要涉及数据关系的分析、推理、判断、运算等。常用题型有数字推理和数学运算两种。</w:t>
      </w:r>
    </w:p>
    <w:p w14:paraId="61BC51D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数字推理：</w:t>
      </w:r>
      <w:r>
        <w:rPr>
          <w:rFonts w:hint="eastAsia" w:ascii="Times New Roman" w:hAnsi="Times New Roman" w:eastAsia="仿宋_GB2312" w:cs="Times New Roman"/>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12DA73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1   2   4   8   16  </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14:paraId="71B85E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16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24          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32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36</w:t>
      </w:r>
    </w:p>
    <w:p w14:paraId="3B3320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。原数列是一个等比数列，后一项是前一项的</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倍，故正确答案为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03CF4BC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数学运算：</w:t>
      </w:r>
      <w:r>
        <w:rPr>
          <w:rFonts w:hint="eastAsia"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14:paraId="193675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：某单位的会议室有</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排共</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rPr>
        <w:t>个座位，每排座位数相同。小张和小李随机入座，则他们坐在同一排的概率：</w:t>
      </w:r>
    </w:p>
    <w:p w14:paraId="076D61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．不高于</w:t>
      </w:r>
      <w:r>
        <w:rPr>
          <w:rFonts w:hint="default" w:ascii="Times New Roman" w:hAnsi="Times New Roman" w:eastAsia="仿宋_GB2312" w:cs="Times New Roman"/>
          <w:sz w:val="32"/>
          <w:szCs w:val="32"/>
        </w:rPr>
        <w:t>15%                     B</w:t>
      </w:r>
      <w:r>
        <w:rPr>
          <w:rFonts w:hint="eastAsia" w:ascii="Times New Roman" w:hAnsi="Times New Roman" w:eastAsia="仿宋_GB2312" w:cs="Times New Roman"/>
          <w:sz w:val="32"/>
          <w:szCs w:val="32"/>
        </w:rPr>
        <w:t>．高于</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但低于</w:t>
      </w:r>
      <w:r>
        <w:rPr>
          <w:rFonts w:hint="default" w:ascii="Times New Roman" w:hAnsi="Times New Roman" w:eastAsia="仿宋_GB2312" w:cs="Times New Roman"/>
          <w:sz w:val="32"/>
          <w:szCs w:val="32"/>
        </w:rPr>
        <w:t>20%</w:t>
      </w:r>
    </w:p>
    <w:p w14:paraId="562B9B5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．正好为</w:t>
      </w:r>
      <w:r>
        <w:rPr>
          <w:rFonts w:hint="default" w:ascii="Times New Roman" w:hAnsi="Times New Roman" w:eastAsia="仿宋_GB2312" w:cs="Times New Roman"/>
          <w:sz w:val="32"/>
          <w:szCs w:val="32"/>
        </w:rPr>
        <w:t>20%                     D</w:t>
      </w:r>
      <w:r>
        <w:rPr>
          <w:rFonts w:hint="eastAsia" w:ascii="Times New Roman" w:hAnsi="Times New Roman" w:eastAsia="仿宋_GB2312" w:cs="Times New Roman"/>
          <w:sz w:val="32"/>
          <w:szCs w:val="32"/>
        </w:rPr>
        <w:t>．高于</w:t>
      </w:r>
      <w:r>
        <w:rPr>
          <w:rFonts w:hint="default" w:ascii="Times New Roman" w:hAnsi="Times New Roman" w:eastAsia="仿宋_GB2312" w:cs="Times New Roman"/>
          <w:sz w:val="32"/>
          <w:szCs w:val="32"/>
        </w:rPr>
        <w:t>20%</w:t>
      </w:r>
    </w:p>
    <w:p w14:paraId="4A87733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。根据题意可知，小张随机选一个位置就坐，那么小李可以选择的位置为</w:t>
      </w:r>
      <w:r>
        <w:rPr>
          <w:rFonts w:hint="default" w:ascii="Times New Roman" w:hAnsi="Times New Roman" w:eastAsia="仿宋_GB2312" w:cs="Times New Roman"/>
          <w:sz w:val="32"/>
          <w:szCs w:val="32"/>
        </w:rPr>
        <w:t>39</w:t>
      </w:r>
      <w:r>
        <w:rPr>
          <w:rFonts w:hint="eastAsia" w:ascii="Times New Roman" w:hAnsi="Times New Roman" w:eastAsia="仿宋_GB2312" w:cs="Times New Roman"/>
          <w:sz w:val="32"/>
          <w:szCs w:val="32"/>
        </w:rPr>
        <w:t>个，因此总情况数</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39</w:t>
      </w:r>
      <w:r>
        <w:rPr>
          <w:rFonts w:hint="eastAsia" w:ascii="Times New Roman" w:hAnsi="Times New Roman" w:eastAsia="仿宋_GB2312" w:cs="Times New Roman"/>
          <w:sz w:val="32"/>
          <w:szCs w:val="32"/>
        </w:rPr>
        <w:t>。要让他们恰好坐在同一排，应先从</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排中选一排，再从这一排中选</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个座位，符合条件的情况数</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，概率约为</w:t>
      </w:r>
      <w:r>
        <w:rPr>
          <w:rFonts w:hint="default" w:ascii="Times New Roman" w:hAnsi="Times New Roman" w:eastAsia="仿宋_GB2312" w:cs="Times New Roman"/>
          <w:sz w:val="32"/>
          <w:szCs w:val="32"/>
        </w:rPr>
        <w:t>7/39=17.9%</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2B207D9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：甲、乙、丙、丁、戊</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名职工参加党史知识测验，每人得分均不相同。甲和乙的平均分比丙多</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分，丁和戊的平均分比丁多</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分，甲、乙的平均分比丙、丁、戊的平均分多</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分。问丙、丁、戊三人得分的排序为：</w:t>
      </w:r>
    </w:p>
    <w:p w14:paraId="727A540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p>
    <w:p w14:paraId="587C2E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p>
    <w:p w14:paraId="3C7657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。假设丙得分为</w:t>
      </w:r>
      <w:r>
        <w:rPr>
          <w:rFonts w:hint="default" w:ascii="Times New Roman" w:hAnsi="Times New Roman" w:eastAsia="仿宋_GB2312" w:cs="Times New Roman"/>
          <w:sz w:val="32"/>
          <w:szCs w:val="32"/>
        </w:rPr>
        <w:t>x</w:t>
      </w:r>
      <w:r>
        <w:rPr>
          <w:rFonts w:hint="eastAsia" w:ascii="Times New Roman" w:hAnsi="Times New Roman" w:eastAsia="仿宋_GB2312" w:cs="Times New Roman"/>
          <w:sz w:val="32"/>
          <w:szCs w:val="32"/>
        </w:rPr>
        <w:t>，则甲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乙</w:t>
      </w:r>
      <w:r>
        <w:rPr>
          <w:rFonts w:hint="default" w:ascii="Times New Roman" w:hAnsi="Times New Roman" w:eastAsia="仿宋_GB2312" w:cs="Times New Roman"/>
          <w:sz w:val="32"/>
          <w:szCs w:val="32"/>
        </w:rPr>
        <w:t>=2x+4</w:t>
      </w:r>
      <w:r>
        <w:rPr>
          <w:rFonts w:hint="eastAsia" w:ascii="Times New Roman" w:hAnsi="Times New Roman" w:eastAsia="仿宋_GB2312" w:cs="Times New Roman"/>
          <w:sz w:val="32"/>
          <w:szCs w:val="32"/>
        </w:rPr>
        <w:t>，（甲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乙）</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/3+3</w:t>
      </w:r>
      <w:r>
        <w:rPr>
          <w:rFonts w:hint="eastAsia" w:ascii="Times New Roman" w:hAnsi="Times New Roman" w:eastAsia="仿宋_GB2312" w:cs="Times New Roman"/>
          <w:sz w:val="32"/>
          <w:szCs w:val="32"/>
        </w:rPr>
        <w:t>，则丁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=2x-3</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，则戊</w:t>
      </w:r>
      <w:r>
        <w:rPr>
          <w:rFonts w:hint="default" w:ascii="Times New Roman" w:hAnsi="Times New Roman" w:eastAsia="仿宋_GB2312" w:cs="Times New Roman"/>
          <w:sz w:val="32"/>
          <w:szCs w:val="32"/>
        </w:rPr>
        <w:t>=x+3.5</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=x-6.5</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43C9CC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：高校某专业</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多名毕业生中，有</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在毕业后去西部省区支援国家建设。其中去偏远中小学支教的毕业生占该专业毕业生总数的</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，比任职大学生村官的毕业生少</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人，比在西部地区参军入伍的毕业生多</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人，其余的毕业生选择去国有企业西部边远岗位工作。问去国有企业西部边远岗位工作的毕业生有多少人？</w:t>
      </w:r>
    </w:p>
    <w:p w14:paraId="07CD66F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23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26</w:t>
      </w:r>
    </w:p>
    <w:p w14:paraId="05ECBE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29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32</w:t>
      </w:r>
    </w:p>
    <w:p w14:paraId="4F6A36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。总人数是</w:t>
      </w:r>
      <w:r>
        <w:rPr>
          <w:rFonts w:hint="default" w:ascii="Times New Roman" w:hAnsi="Times New Roman" w:eastAsia="仿宋_GB2312" w:cs="Times New Roman"/>
          <w:sz w:val="32"/>
          <w:szCs w:val="32"/>
        </w:rPr>
        <w:t>25</w:t>
      </w:r>
      <w:r>
        <w:rPr>
          <w:rFonts w:hint="eastAsia" w:ascii="Times New Roman" w:hAnsi="Times New Roman" w:eastAsia="仿宋_GB2312" w:cs="Times New Roman"/>
          <w:sz w:val="32"/>
          <w:szCs w:val="32"/>
        </w:rPr>
        <w:t>的倍数且在</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到</w:t>
      </w:r>
      <w:r>
        <w:rPr>
          <w:rFonts w:hint="default" w:ascii="Times New Roman" w:hAnsi="Times New Roman" w:eastAsia="仿宋_GB2312" w:cs="Times New Roman"/>
          <w:sz w:val="32"/>
          <w:szCs w:val="32"/>
        </w:rPr>
        <w:t>80</w:t>
      </w:r>
      <w:r>
        <w:rPr>
          <w:rFonts w:hint="eastAsia" w:ascii="Times New Roman" w:hAnsi="Times New Roman" w:eastAsia="仿宋_GB2312" w:cs="Times New Roman"/>
          <w:sz w:val="32"/>
          <w:szCs w:val="32"/>
        </w:rPr>
        <w:t>之间，只有</w:t>
      </w:r>
      <w:r>
        <w:rPr>
          <w:rFonts w:hint="default" w:ascii="Times New Roman" w:hAnsi="Times New Roman" w:eastAsia="仿宋_GB2312" w:cs="Times New Roman"/>
          <w:sz w:val="32"/>
          <w:szCs w:val="32"/>
        </w:rPr>
        <w:t>75</w:t>
      </w:r>
      <w:r>
        <w:rPr>
          <w:rFonts w:hint="eastAsia" w:ascii="Times New Roman" w:hAnsi="Times New Roman" w:eastAsia="仿宋_GB2312" w:cs="Times New Roman"/>
          <w:sz w:val="32"/>
          <w:szCs w:val="32"/>
        </w:rPr>
        <w:t>一个可能性，其中</w:t>
      </w:r>
      <w:r>
        <w:rPr>
          <w:rFonts w:hint="default" w:ascii="Times New Roman" w:hAnsi="Times New Roman" w:eastAsia="仿宋_GB2312" w:cs="Times New Roman"/>
          <w:sz w:val="32"/>
          <w:szCs w:val="32"/>
        </w:rPr>
        <w:t>72</w:t>
      </w:r>
      <w:r>
        <w:rPr>
          <w:rFonts w:hint="eastAsia" w:ascii="Times New Roman" w:hAnsi="Times New Roman" w:eastAsia="仿宋_GB2312" w:cs="Times New Roman"/>
          <w:sz w:val="32"/>
          <w:szCs w:val="32"/>
        </w:rPr>
        <w:t>人去西部地区。支教、村官和入伍分别有</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17</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人，总计有</w:t>
      </w:r>
      <w:r>
        <w:rPr>
          <w:rFonts w:hint="default" w:ascii="Times New Roman" w:hAnsi="Times New Roman" w:eastAsia="仿宋_GB2312" w:cs="Times New Roman"/>
          <w:sz w:val="32"/>
          <w:szCs w:val="32"/>
        </w:rPr>
        <w:t>46</w:t>
      </w:r>
      <w:r>
        <w:rPr>
          <w:rFonts w:hint="eastAsia" w:ascii="Times New Roman" w:hAnsi="Times New Roman" w:eastAsia="仿宋_GB2312" w:cs="Times New Roman"/>
          <w:sz w:val="32"/>
          <w:szCs w:val="32"/>
        </w:rPr>
        <w:t>人，剩余</w:t>
      </w:r>
      <w:r>
        <w:rPr>
          <w:rFonts w:hint="default" w:ascii="Times New Roman" w:hAnsi="Times New Roman" w:eastAsia="仿宋_GB2312" w:cs="Times New Roman"/>
          <w:sz w:val="32"/>
          <w:szCs w:val="32"/>
        </w:rPr>
        <w:t>26</w:t>
      </w:r>
      <w:r>
        <w:rPr>
          <w:rFonts w:hint="eastAsia" w:ascii="Times New Roman" w:hAnsi="Times New Roman" w:eastAsia="仿宋_GB2312" w:cs="Times New Roman"/>
          <w:sz w:val="32"/>
          <w:szCs w:val="32"/>
        </w:rPr>
        <w:t>人在国企工作。因此，正确答案为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608A7879">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（五）判断推理。</w:t>
      </w:r>
      <w:r>
        <w:rPr>
          <w:rFonts w:hint="eastAsia"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06FFFA99">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图形推理：</w:t>
      </w:r>
      <w:r>
        <w:rPr>
          <w:rFonts w:hint="eastAsia" w:ascii="Times New Roman" w:hAnsi="Times New Roman" w:eastAsia="仿宋_GB2312" w:cs="Times New Roman"/>
          <w:sz w:val="32"/>
          <w:szCs w:val="32"/>
        </w:rPr>
        <w:t>每道题给出一套或两套图形，要求报考者通过观察分析找出图形排列的规律，选出符合规律的一项。</w:t>
      </w:r>
    </w:p>
    <w:p w14:paraId="43AFFB2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：把下面的六个图形分为两类，使每一类图形都有各自的共同特征或规律，分类正确的一项是：</w:t>
      </w:r>
    </w:p>
    <w:p w14:paraId="38B577A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FF0000"/>
          <w:sz w:val="32"/>
          <w:szCs w:val="32"/>
          <w:lang w:val="en-US"/>
        </w:rPr>
        <w:drawing>
          <wp:inline distT="0" distB="0" distL="114300" distR="114300">
            <wp:extent cx="5271770" cy="1190625"/>
            <wp:effectExtent l="0" t="0" r="6985" b="762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5"/>
                    <a:stretch>
                      <a:fillRect/>
                    </a:stretch>
                  </pic:blipFill>
                  <pic:spPr>
                    <a:xfrm>
                      <a:off x="0" y="0"/>
                      <a:ext cx="5271770" cy="1190625"/>
                    </a:xfrm>
                    <a:prstGeom prst="rect">
                      <a:avLst/>
                    </a:prstGeom>
                    <a:noFill/>
                    <a:ln>
                      <a:noFill/>
                    </a:ln>
                  </pic:spPr>
                </pic:pic>
              </a:graphicData>
            </a:graphic>
          </wp:inline>
        </w:drawing>
      </w:r>
    </w:p>
    <w:p w14:paraId="5BCB680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．①②⑥，③④⑤</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．①③④，②⑤⑥</w:t>
      </w:r>
    </w:p>
    <w:p w14:paraId="05EE11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．①④⑤，②③⑥</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．①④⑥，②③⑤</w:t>
      </w:r>
    </w:p>
    <w:p w14:paraId="27D0F9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。题干中每个图形中都有多个封闭图形和线段，考虑二者之间的位置关系。因此，正确答案为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0D53A40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1" locked="0" layoutInCell="1" allowOverlap="1">
            <wp:simplePos x="0" y="0"/>
            <wp:positionH relativeFrom="column">
              <wp:posOffset>228600</wp:posOffset>
            </wp:positionH>
            <wp:positionV relativeFrom="page">
              <wp:posOffset>8014335</wp:posOffset>
            </wp:positionV>
            <wp:extent cx="4983480" cy="1897380"/>
            <wp:effectExtent l="0" t="0" r="3810" b="2540"/>
            <wp:wrapTight wrapText="bothSides">
              <wp:wrapPolygon>
                <wp:start x="0" y="0"/>
                <wp:lineTo x="0" y="21260"/>
                <wp:lineTo x="21383" y="21260"/>
                <wp:lineTo x="21383" y="0"/>
                <wp:lineTo x="0" y="0"/>
              </wp:wrapPolygon>
            </wp:wrapTight>
            <wp:docPr id="4"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1702866803985"/>
                    <pic:cNvPicPr>
                      <a:picLocks noChangeAspect="1"/>
                    </pic:cNvPicPr>
                  </pic:nvPicPr>
                  <pic:blipFill>
                    <a:blip r:embed="rId6"/>
                    <a:stretch>
                      <a:fillRect/>
                    </a:stretch>
                  </pic:blipFill>
                  <pic:spPr>
                    <a:xfrm>
                      <a:off x="0" y="0"/>
                      <a:ext cx="4983480" cy="1897380"/>
                    </a:xfrm>
                    <a:prstGeom prst="rect">
                      <a:avLst/>
                    </a:prstGeom>
                    <a:noFill/>
                    <a:ln>
                      <a:noFill/>
                    </a:ln>
                  </pic:spPr>
                </pic:pic>
              </a:graphicData>
            </a:graphic>
          </wp:anchor>
        </w:drawing>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：从所给的四个选项中，选择最合适的一个填入问号处，使之呈现一定的规律性：</w:t>
      </w:r>
    </w:p>
    <w:p w14:paraId="7FE372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。所有图形均为轴对称图形，从对称轴的变化来看，有两个规律：一是对称轴位置，第一个图形对称轴是垂直状态，之后图形的对称轴依次顺时针旋转</w:t>
      </w:r>
      <w:r>
        <w:rPr>
          <w:rFonts w:hint="default" w:ascii="Times New Roman" w:hAnsi="Times New Roman" w:eastAsia="仿宋_GB2312" w:cs="Times New Roman"/>
          <w:sz w:val="32"/>
          <w:szCs w:val="32"/>
        </w:rPr>
        <w:t>45</w:t>
      </w:r>
      <w:r>
        <w:rPr>
          <w:rFonts w:hint="eastAsia" w:ascii="Times New Roman" w:hAnsi="Times New Roman" w:eastAsia="仿宋_GB2312" w:cs="Times New Roman"/>
          <w:sz w:val="32"/>
          <w:szCs w:val="32"/>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18A0DBE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0288" behindDoc="0" locked="0" layoutInCell="1" allowOverlap="1">
            <wp:simplePos x="0" y="0"/>
            <wp:positionH relativeFrom="column">
              <wp:posOffset>170180</wp:posOffset>
            </wp:positionH>
            <wp:positionV relativeFrom="paragraph">
              <wp:posOffset>1004570</wp:posOffset>
            </wp:positionV>
            <wp:extent cx="5097780" cy="2682240"/>
            <wp:effectExtent l="0" t="0" r="8255" b="5715"/>
            <wp:wrapTopAndBottom/>
            <wp:docPr id="2"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1702866867850"/>
                    <pic:cNvPicPr>
                      <a:picLocks noChangeAspect="1"/>
                    </pic:cNvPicPr>
                  </pic:nvPicPr>
                  <pic:blipFill>
                    <a:blip r:embed="rId7"/>
                    <a:stretch>
                      <a:fillRect/>
                    </a:stretch>
                  </pic:blipFill>
                  <pic:spPr>
                    <a:xfrm>
                      <a:off x="0" y="0"/>
                      <a:ext cx="5097780" cy="2682240"/>
                    </a:xfrm>
                    <a:prstGeom prst="rect">
                      <a:avLst/>
                    </a:prstGeom>
                    <a:noFill/>
                    <a:ln>
                      <a:noFill/>
                    </a:ln>
                  </pic:spPr>
                </pic:pic>
              </a:graphicData>
            </a:graphic>
          </wp:anchor>
        </w:drawing>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：下图是给定的空心立体图形，将其从任一面剖开，以下哪项可能是该立体图形的截面？</w:t>
      </w:r>
    </w:p>
    <w:p w14:paraId="649D242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4968719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定义判断：</w:t>
      </w:r>
      <w:r>
        <w:rPr>
          <w:rFonts w:hint="eastAsia"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14:paraId="2F092A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18703E3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根据上述定义，下列说法正确的是：</w:t>
      </w:r>
    </w:p>
    <w:p w14:paraId="443660A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．对某市幼儿园所有儿童进行口腔卫生检查，这属于非全面调查</w:t>
      </w:r>
    </w:p>
    <w:p w14:paraId="61B26D9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．对全国招生规模较大的前</w:t>
      </w:r>
      <w:r>
        <w:rPr>
          <w:rFonts w:hint="default" w:ascii="Times New Roman" w:hAnsi="Times New Roman" w:eastAsia="仿宋_GB2312" w:cs="Times New Roman"/>
          <w:sz w:val="32"/>
          <w:szCs w:val="32"/>
        </w:rPr>
        <w:t>30</w:t>
      </w:r>
      <w:r>
        <w:rPr>
          <w:rFonts w:hint="eastAsia" w:ascii="Times New Roman" w:hAnsi="Times New Roman" w:eastAsia="仿宋_GB2312" w:cs="Times New Roman"/>
          <w:sz w:val="32"/>
          <w:szCs w:val="32"/>
        </w:rPr>
        <w:t>所医学院校进行学生就业情况调查，这属于典型调查</w:t>
      </w:r>
    </w:p>
    <w:p w14:paraId="6B0A6D4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．对省内</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年级的全体学生进行体育活动时间的调查，这属于非全面调查</w:t>
      </w:r>
    </w:p>
    <w:p w14:paraId="3A5C24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．对某市中考数学成绩最好的几所学校进行调查，总结相关经验，这属于抽样调查</w:t>
      </w:r>
    </w:p>
    <w:p w14:paraId="3B9076F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。根据题干，“全面调查”的定义要点是：一定范围内的普查；“非全面调查”的定义要点是：在总体中抽取部分对象；根据选择样本的方式又分为抽样调查和典型调查。</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选项体现了一定范围内的普查，属于全面调查，叙述错误；</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选项符合典型调查，叙述正确；</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选项体现了一定范围内的普查，属于全面调查，叙述错误；</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选项是典型调查，叙述错误。因此，正确答案为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740677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：物候现象是生物随着气候一年四季的周期性变化而发生的相应季节性变化的现象。影响物候现象的因素主要包括海拔的差异、经度的差异、纬度的差异和时间的差异。</w:t>
      </w:r>
    </w:p>
    <w:p w14:paraId="075E069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下列诗句反映的物候现象受到海拔差异影响的是：</w:t>
      </w:r>
    </w:p>
    <w:p w14:paraId="33189E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．日出江花红胜火，春来江水绿如蓝</w:t>
      </w:r>
    </w:p>
    <w:p w14:paraId="79C18A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．人间四月芳菲尽，山寺桃花始盛开</w:t>
      </w:r>
    </w:p>
    <w:p w14:paraId="5A00828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．竹外桃花三两枝，春江水暖鸭先知</w:t>
      </w:r>
    </w:p>
    <w:p w14:paraId="6EAA2DA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．羌笛何须怨杨柳，春风不度玉门关</w:t>
      </w:r>
    </w:p>
    <w:p w14:paraId="08DC3C3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选项提到了春天江水呈碧蓝色，是由于春季温度升高，江水内藻类大量繁殖，反映了物候与季节有关系；</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选项提到了四月份时山地与平原地区花期不同的问题，反映了物候与地势高低有关系；</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选项只陈述了物候现象，没有反映出影响因素；</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选项描述了玉门关外春风不度的景象，是因为玉门关外受夏季风影响小，暖湿气流很难到达。因此，正确答案为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41EDAE3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：数字农业是指用数字化技术，按人类需要的目标，对农业所涉及的对象和全过程进行数字化和可视化表达、设计、控制、管理等的农业。根据上述定义，下列没有体现数字农业的是：</w:t>
      </w:r>
    </w:p>
    <w:p w14:paraId="500A980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．遇到连绵阴雨天，果蔬容易滋生病害，需要及时喷药，采用轻型直升机几个小时就可以完成传统作业方式十多人几天才能完成的工作</w:t>
      </w:r>
    </w:p>
    <w:p w14:paraId="3BBBD1A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．在大数据平台，点击任一块田地，就可以看到这块田地的土壤酸碱度、肥水条件、环境温度湿度等指标，农民可以根据这些信息进行田地管理</w:t>
      </w:r>
    </w:p>
    <w:p w14:paraId="05AB89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．某柑橘生产大省建立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柑橘产业大数据中心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，以数据驱动柑橘产业结构性改革和高质量发展</w:t>
      </w:r>
    </w:p>
    <w:p w14:paraId="6A2DF10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．通过电子标签等技术，对单个产品赋予身份编码及认证信息，在生产管理、仓储、物流、销售等环节实现信息追溯</w:t>
      </w:r>
    </w:p>
    <w:p w14:paraId="6C6C26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选项体现了运用数字化技术进行农田管理；</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选项和</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选项，体现了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对农业所涉及对象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的全过程管理；</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选项没有涉及数字化技术。因此，正确答案为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46AA404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类比推理：</w:t>
      </w:r>
      <w:r>
        <w:rPr>
          <w:rFonts w:hint="eastAsia" w:ascii="Times New Roman" w:hAnsi="Times New Roman" w:eastAsia="仿宋_GB2312" w:cs="Times New Roman"/>
          <w:sz w:val="32"/>
          <w:szCs w:val="32"/>
        </w:rPr>
        <w:t>给出一组相关的词，要求通过观察分析，在备选答案中找出一组与之在逻辑关系上最为贴近或相似的词。</w:t>
      </w:r>
    </w:p>
    <w:p w14:paraId="4529417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：设计︰发放︰问卷</w:t>
      </w:r>
    </w:p>
    <w:p w14:paraId="47B28A1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．复制︰修改︰文字</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．预习︰复习︰考试</w:t>
      </w:r>
    </w:p>
    <w:p w14:paraId="54F63C8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．播放︰快进︰磁带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．制定︰执行︰政策</w:t>
      </w:r>
    </w:p>
    <w:p w14:paraId="619475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。“设计”和“发放”是问卷实施过程中必然经历的两个步骤，顺序是先设计，后发放。</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选项，“制定”“执行”是政策实行过程中必然经历的两个步骤，并且制定在前，执行在后，与题干逻辑关系一致，</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选项中的词语不具备题干中的逻辑关系。因此，正确答案为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3933959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：自然声源</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对于（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）相当于（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）对于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煤炭</w:t>
      </w:r>
    </w:p>
    <w:p w14:paraId="1B1D7F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．人工声源；植物遗骸</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．燕语莺声；矿石燃料</w:t>
      </w:r>
    </w:p>
    <w:p w14:paraId="12B97F8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．传播介质；社区供暖</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．物体振动；地质危害</w:t>
      </w:r>
    </w:p>
    <w:p w14:paraId="2BEB1E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选项自然声源和人工声源是并列关系，煤炭由植物遗骸形成，逻辑关系不一致；</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选项自然声源和燕语莺声是包含关系，矿石燃料和煤炭是包含关系，逻辑关系相符；</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选项自然声源需要传播介质，但社区供暖不一定需要煤炭，逻辑关系不一致；</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选项自然声源由物体振动引起，与煤炭和地质危害的逻辑关系不一致。因此，正确答案为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1D5BF7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：一望无垠∶辽阔</w:t>
      </w:r>
    </w:p>
    <w:p w14:paraId="7FEB41E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．人云亦云∶重复</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．耳提面命∶教导</w:t>
      </w:r>
    </w:p>
    <w:p w14:paraId="7AD25C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．方兴未艾∶失败</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．厉兵秣马∶战斗</w:t>
      </w:r>
    </w:p>
    <w:p w14:paraId="3D62509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。题干两词为同义关系，一望无垠是指辽阔，看不到边际。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选项人云亦云是指没主见。</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选项耳提面命形容教诲恳切、要求严格，与教导同义。</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选项方兴未艾是正在发展的意思，与失败是反义。</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选项厉兵秣马是指准备战斗，并不是战斗。因此，正确答案为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0F89FC44">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逻辑判断：</w:t>
      </w:r>
      <w:r>
        <w:rPr>
          <w:rFonts w:hint="eastAsia"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14:paraId="7540E69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：一切生命有机体都需要新陈代谢，否则生命就会停止。文明也是一样，如果长期自我封闭，必将走向衰落。交流互鉴是文明发展的本质要求。只有同其他文明交流互鉴、取长补短，才能保持旺盛生命活力。</w:t>
      </w:r>
    </w:p>
    <w:p w14:paraId="626934E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由此可以推出：</w:t>
      </w:r>
    </w:p>
    <w:p w14:paraId="206441B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．一种文明如果没有长期自我封闭，就不会走向衰落</w:t>
      </w:r>
    </w:p>
    <w:p w14:paraId="7FB9949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．一种文明如果同其他文明交流互鉴、取长补短，就能保持旺盛生命活力</w:t>
      </w:r>
    </w:p>
    <w:p w14:paraId="131A76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．一种文明如果没有同其他文明交流互鉴，就不能保持旺盛生命活力</w:t>
      </w:r>
    </w:p>
    <w:p w14:paraId="5798EA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．一种文明如果没有保持旺盛生命活力，它就没有同其他文明取长补短</w:t>
      </w:r>
    </w:p>
    <w:p w14:paraId="335961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选项将题干中的条件前后件均加否定，不能推出；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选项将题干中的“只有…才…”转换为“如果…就…”，不能推出；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选项是对题干最后一句话的同义表述，可以推出；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选项将题干最后一句话的前后件对调，不能推出。因此，正确答案为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691542F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：一项研究中，研究者观察了近</w:t>
      </w:r>
      <w:r>
        <w:rPr>
          <w:rFonts w:hint="default" w:ascii="Times New Roman" w:hAnsi="Times New Roman" w:eastAsia="仿宋_GB2312" w:cs="Times New Roman"/>
          <w:sz w:val="32"/>
          <w:szCs w:val="32"/>
        </w:rPr>
        <w:t>300</w:t>
      </w:r>
      <w:r>
        <w:rPr>
          <w:rFonts w:hint="eastAsia" w:ascii="Times New Roman" w:hAnsi="Times New Roman" w:eastAsia="仿宋_GB2312" w:cs="Times New Roman"/>
          <w:sz w:val="32"/>
          <w:szCs w:val="32"/>
        </w:rPr>
        <w:t>名</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3A0FF7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以下哪项如果为真，最能支持上述结论？</w:t>
      </w:r>
    </w:p>
    <w:p w14:paraId="523CA06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．长时间坐着听课会增加身体对脊柱的压力，不利于学生的身体健康</w:t>
      </w:r>
    </w:p>
    <w:p w14:paraId="6419461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．即使是站立听课，也有个别学生会来回走动，影响课堂秩序，让他人分心</w:t>
      </w:r>
    </w:p>
    <w:p w14:paraId="3433191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．许多性格活泼的学生更喜欢站立听课，专注力更好，而内向的学生则愿意坐着听课，觉得更利于提高注意力</w:t>
      </w:r>
    </w:p>
    <w:p w14:paraId="7309A6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．站立需要大脑平衡身体、控制轻微肌肉收缩，这些适度的压力会使人的注意力更加集中</w:t>
      </w:r>
    </w:p>
    <w:p w14:paraId="263747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。结论是站立听课的学生比坐着的学生更加专注。</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选项说明坐着听讲不利于健康，没有提到专注力，与结论无关；</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选项说站立听课会来回走动，影响他人听讲，对结论有一定程度的质疑；</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选项说性格活泼的孩子愿意站立听课，而内向的喜欢坐着听课，与结论无关；</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选项说为什么站立听课能带来专注力的提升，阐明了原理，支持了结论。因此，正确答案为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9AC8D1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40ED38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某超市从前到后整齐排列着</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排货架，放置着文具、零食、调料、日用品、酒、粮油和饮料</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类商品，每类商品占据一排。已知：</w:t>
      </w:r>
    </w:p>
    <w:p w14:paraId="1CA8B9E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eastAsia" w:ascii="Times New Roman" w:hAnsi="Times New Roman" w:eastAsia="仿宋_GB2312" w:cs="Times New Roman"/>
          <w:sz w:val="32"/>
          <w:szCs w:val="32"/>
        </w:rPr>
        <w:t>酒类排在调料类之前；</w:t>
      </w:r>
    </w:p>
    <w:p w14:paraId="4299E89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eastAsia" w:ascii="Times New Roman" w:hAnsi="Times New Roman" w:eastAsia="仿宋_GB2312" w:cs="Times New Roman"/>
          <w:sz w:val="32"/>
          <w:szCs w:val="32"/>
        </w:rPr>
        <w:t>文具类和调料类中间隔着</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排；</w:t>
      </w:r>
    </w:p>
    <w:p w14:paraId="1A65B3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w:t>
      </w:r>
      <w:r>
        <w:rPr>
          <w:rFonts w:hint="eastAsia" w:ascii="Times New Roman" w:hAnsi="Times New Roman" w:eastAsia="仿宋_GB2312" w:cs="Times New Roman"/>
          <w:sz w:val="32"/>
          <w:szCs w:val="32"/>
        </w:rPr>
        <w:t>粮油类在零食类之后，中间隔着</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排；</w:t>
      </w:r>
    </w:p>
    <w:p w14:paraId="44FF824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eastAsia" w:ascii="Times New Roman" w:hAnsi="Times New Roman" w:eastAsia="仿宋_GB2312" w:cs="Times New Roman"/>
          <w:sz w:val="32"/>
          <w:szCs w:val="32"/>
        </w:rPr>
        <w:t>日用品类紧挨在文具类前一排或者后一排。</w:t>
      </w:r>
    </w:p>
    <w:p w14:paraId="27C87A9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）下列各项中，哪一类商品不可能排在第一排？</w:t>
      </w:r>
    </w:p>
    <w:p w14:paraId="214F8B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．粮油类</w:t>
      </w:r>
    </w:p>
    <w:p w14:paraId="7E4E176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．酒类</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．日用品类</w:t>
      </w:r>
    </w:p>
    <w:p w14:paraId="349567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0FEC451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）按照从前到后，下列哪项排列是可能的？</w:t>
      </w:r>
    </w:p>
    <w:p w14:paraId="3303180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．文具类、零食类、日用品类、酒类、调料类、粮油类、饮料类</w:t>
      </w:r>
    </w:p>
    <w:p w14:paraId="3EF042F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．零食类、文具类、日用品类、粮油类、饮料类、调料类、酒类</w:t>
      </w:r>
    </w:p>
    <w:p w14:paraId="406BA9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．日用品类、文具类、零食类、酒类、粮油类、调料类、饮料类</w:t>
      </w:r>
    </w:p>
    <w:p w14:paraId="71126B5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．日用品类、文具类、酒类、零食类、饮料类、调料类、粮油类</w:t>
      </w:r>
    </w:p>
    <w:p w14:paraId="78D782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5C0406E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）零食类和文具类中间最多可能隔几排？</w:t>
      </w:r>
    </w:p>
    <w:p w14:paraId="362D9E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排</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排</w:t>
      </w:r>
    </w:p>
    <w:p w14:paraId="6F2176B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排</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w:t>
      </w:r>
    </w:p>
    <w:p w14:paraId="3C212C7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64C17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）如果零食类排在第</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排，那么下列哪项中的两类商品不可能是相邻的两排？</w:t>
      </w:r>
    </w:p>
    <w:p w14:paraId="6B347B4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．文具类和粮油类</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．零食类和文具类</w:t>
      </w:r>
    </w:p>
    <w:p w14:paraId="0A8FF36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．日用品类和酒类</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．零食类和日用品类</w:t>
      </w:r>
    </w:p>
    <w:p w14:paraId="2BC640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1B79674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）如果饮料类排在第</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排，则以下哪项是可能的？</w:t>
      </w:r>
    </w:p>
    <w:p w14:paraId="1CBF1C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．零食类排在文具类前一排</w:t>
      </w:r>
    </w:p>
    <w:p w14:paraId="0CC0D5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．粮油类排在调料类前一排</w:t>
      </w:r>
    </w:p>
    <w:p w14:paraId="4FA87D4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．日用品类排在文具类前一排</w:t>
      </w:r>
    </w:p>
    <w:p w14:paraId="1F239ED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．酒类排在文具类前一排</w:t>
      </w:r>
    </w:p>
    <w:p w14:paraId="6E4A2C2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33965E2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（六）资料分析。</w:t>
      </w:r>
      <w:r>
        <w:rPr>
          <w:rFonts w:hint="eastAsia" w:ascii="Times New Roman" w:hAnsi="Times New Roman" w:eastAsia="仿宋_GB2312" w:cs="Times New Roman"/>
          <w:sz w:val="32"/>
          <w:szCs w:val="32"/>
        </w:rPr>
        <w:t>主要测查报考者对文字、数字、图表等统计性资料的综合理解与分析加工能力。</w:t>
      </w:r>
    </w:p>
    <w:p w14:paraId="392463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41F7081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38105B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3641ECD9">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14:paraId="0D2EE7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70500" cy="4865370"/>
            <wp:effectExtent l="0" t="0" r="8255" b="3175"/>
            <wp:docPr id="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
                    <pic:cNvPicPr>
                      <a:picLocks noChangeAspect="1"/>
                    </pic:cNvPicPr>
                  </pic:nvPicPr>
                  <pic:blipFill>
                    <a:blip r:embed="rId8"/>
                    <a:stretch>
                      <a:fillRect/>
                    </a:stretch>
                  </pic:blipFill>
                  <pic:spPr>
                    <a:xfrm>
                      <a:off x="0" y="0"/>
                      <a:ext cx="5270500" cy="4865370"/>
                    </a:xfrm>
                    <a:prstGeom prst="rect">
                      <a:avLst/>
                    </a:prstGeom>
                    <a:noFill/>
                    <a:ln>
                      <a:noFill/>
                    </a:ln>
                  </pic:spPr>
                </pic:pic>
              </a:graphicData>
            </a:graphic>
          </wp:inline>
        </w:drawing>
      </w:r>
    </w:p>
    <w:p w14:paraId="0B295F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省秋粮玉米和稻谷的市场平均交易价格分别为</w:t>
      </w:r>
      <w:r>
        <w:rPr>
          <w:rFonts w:hint="default" w:ascii="Times New Roman" w:hAnsi="Times New Roman" w:eastAsia="仿宋_GB2312" w:cs="Times New Roman"/>
          <w:sz w:val="32"/>
          <w:szCs w:val="32"/>
        </w:rPr>
        <w:t>2.34</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公斤和</w:t>
      </w:r>
      <w:r>
        <w:rPr>
          <w:rFonts w:hint="default" w:ascii="Times New Roman" w:hAnsi="Times New Roman" w:eastAsia="仿宋_GB2312" w:cs="Times New Roman"/>
          <w:sz w:val="32"/>
          <w:szCs w:val="32"/>
        </w:rPr>
        <w:t>2.74</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公斤，分别比上年上涨</w:t>
      </w:r>
      <w:r>
        <w:rPr>
          <w:rFonts w:hint="default" w:ascii="Times New Roman" w:hAnsi="Times New Roman" w:eastAsia="仿宋_GB2312" w:cs="Times New Roman"/>
          <w:sz w:val="32"/>
          <w:szCs w:val="32"/>
        </w:rPr>
        <w:t>28.6%</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8.7%</w:t>
      </w:r>
      <w:r>
        <w:rPr>
          <w:rFonts w:hint="eastAsia" w:ascii="Times New Roman" w:hAnsi="Times New Roman" w:eastAsia="仿宋_GB2312" w:cs="Times New Roman"/>
          <w:sz w:val="32"/>
          <w:szCs w:val="32"/>
        </w:rPr>
        <w:t>。按此价格测算，</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年全省农户种植玉米、稻谷扣除成本前的产值分别为</w:t>
      </w:r>
      <w:r>
        <w:rPr>
          <w:rFonts w:hint="default" w:ascii="Times New Roman" w:hAnsi="Times New Roman" w:eastAsia="仿宋_GB2312" w:cs="Times New Roman"/>
          <w:sz w:val="32"/>
          <w:szCs w:val="32"/>
        </w:rPr>
        <w:t>957.1</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w:t>
      </w:r>
      <w:r>
        <w:rPr>
          <w:rFonts w:hint="default" w:ascii="Times New Roman" w:hAnsi="Times New Roman" w:eastAsia="仿宋_GB2312" w:cs="Times New Roman"/>
          <w:sz w:val="32"/>
          <w:szCs w:val="32"/>
        </w:rPr>
        <w:t>1520.7</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亩，分别比上年增长</w:t>
      </w:r>
      <w:r>
        <w:rPr>
          <w:rFonts w:hint="default" w:ascii="Times New Roman" w:hAnsi="Times New Roman" w:eastAsia="仿宋_GB2312" w:cs="Times New Roman"/>
          <w:sz w:val="32"/>
          <w:szCs w:val="32"/>
        </w:rPr>
        <w:t>33.4%</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8.9%</w:t>
      </w:r>
      <w:r>
        <w:rPr>
          <w:rFonts w:hint="eastAsia" w:ascii="Times New Roman" w:hAnsi="Times New Roman" w:eastAsia="仿宋_GB2312" w:cs="Times New Roman"/>
          <w:sz w:val="32"/>
          <w:szCs w:val="32"/>
        </w:rPr>
        <w:t>。</w:t>
      </w:r>
    </w:p>
    <w:p w14:paraId="4842F3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省秋粮稻谷的平均生产成本约为多少元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w:t>
      </w:r>
    </w:p>
    <w:p w14:paraId="18B487A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548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533</w:t>
      </w:r>
    </w:p>
    <w:p w14:paraId="75513A3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439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450</w:t>
      </w:r>
    </w:p>
    <w:p w14:paraId="434461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57C5E10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）将</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省秋粮机耕、机播、机收、排灌成本按同比增量从高到低的顺序排列，以下正确的是：</w:t>
      </w:r>
    </w:p>
    <w:p w14:paraId="4AC095B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．机耕、机播、机收、排灌</w:t>
      </w:r>
      <w:r>
        <w:rPr>
          <w:rFonts w:hint="default" w:ascii="Times New Roman" w:hAnsi="Times New Roman" w:eastAsia="仿宋_GB2312" w:cs="Times New Roman"/>
          <w:sz w:val="32"/>
          <w:szCs w:val="32"/>
        </w:rPr>
        <w:t>   </w:t>
      </w:r>
    </w:p>
    <w:p w14:paraId="15B3FA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．机收、排灌、机耕、机播</w:t>
      </w:r>
    </w:p>
    <w:p w14:paraId="621D528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．机耕、机播、排灌、机收</w:t>
      </w:r>
      <w:r>
        <w:rPr>
          <w:rFonts w:hint="default" w:ascii="Times New Roman" w:hAnsi="Times New Roman" w:eastAsia="仿宋_GB2312" w:cs="Times New Roman"/>
          <w:sz w:val="32"/>
          <w:szCs w:val="32"/>
        </w:rPr>
        <w:t>   </w:t>
      </w:r>
    </w:p>
    <w:p w14:paraId="7437778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．机收、排灌、机播、机耕</w:t>
      </w:r>
    </w:p>
    <w:p w14:paraId="3B98E8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269757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省秋粮玉米和稻谷的亩产与上年相比：</w:t>
      </w:r>
    </w:p>
    <w:p w14:paraId="718545B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．仅稻谷亩产高于上年水平</w:t>
      </w:r>
      <w:r>
        <w:rPr>
          <w:rFonts w:hint="default" w:ascii="Times New Roman" w:hAnsi="Times New Roman" w:eastAsia="仿宋_GB2312" w:cs="Times New Roman"/>
          <w:sz w:val="32"/>
          <w:szCs w:val="32"/>
        </w:rPr>
        <w:t>   </w:t>
      </w:r>
    </w:p>
    <w:p w14:paraId="1CF3C4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．仅玉米亩产高于上年水平</w:t>
      </w:r>
    </w:p>
    <w:p w14:paraId="187CB56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．两者亩产均低于上年水平</w:t>
      </w:r>
      <w:r>
        <w:rPr>
          <w:rFonts w:hint="default" w:ascii="Times New Roman" w:hAnsi="Times New Roman" w:eastAsia="仿宋_GB2312" w:cs="Times New Roman"/>
          <w:sz w:val="32"/>
          <w:szCs w:val="32"/>
        </w:rPr>
        <w:t>   </w:t>
      </w:r>
    </w:p>
    <w:p w14:paraId="69760DF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．两者亩产均高于上年水平</w:t>
      </w:r>
    </w:p>
    <w:p w14:paraId="3EA9C9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3F06ED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）如种植收益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产值？生产成本，则</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省秋粮稻谷平均每亩的种植收益约是玉米的多少倍？</w:t>
      </w:r>
    </w:p>
    <w:p w14:paraId="60308D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0.5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0.7</w:t>
      </w:r>
    </w:p>
    <w:p w14:paraId="5A7B54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1.6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1.9</w:t>
      </w:r>
    </w:p>
    <w:p w14:paraId="23CBC7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248E47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省农民老王在承包地中种植秋粮玉米，按全省平均生产成本估算，他在种子和农药上需要花费</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元。如亦按全省平均生产成本估算，他需要花费的人工成本在以下哪个范围内？</w:t>
      </w:r>
    </w:p>
    <w:p w14:paraId="0D848BE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．不到</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2500</w:t>
      </w:r>
      <w:r>
        <w:rPr>
          <w:rFonts w:hint="eastAsia" w:ascii="Times New Roman" w:hAnsi="Times New Roman" w:eastAsia="仿宋_GB2312" w:cs="Times New Roman"/>
          <w:sz w:val="32"/>
          <w:szCs w:val="32"/>
        </w:rPr>
        <w:t>元之间</w:t>
      </w:r>
    </w:p>
    <w:p w14:paraId="166D30C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2500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3000</w:t>
      </w:r>
      <w:r>
        <w:rPr>
          <w:rFonts w:hint="eastAsia" w:ascii="Times New Roman" w:hAnsi="Times New Roman" w:eastAsia="仿宋_GB2312" w:cs="Times New Roman"/>
          <w:sz w:val="32"/>
          <w:szCs w:val="32"/>
        </w:rPr>
        <w:t>元之间</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．超过</w:t>
      </w:r>
      <w:r>
        <w:rPr>
          <w:rFonts w:hint="default" w:ascii="Times New Roman" w:hAnsi="Times New Roman" w:eastAsia="仿宋_GB2312" w:cs="Times New Roman"/>
          <w:sz w:val="32"/>
          <w:szCs w:val="32"/>
        </w:rPr>
        <w:t>3000</w:t>
      </w:r>
      <w:r>
        <w:rPr>
          <w:rFonts w:hint="eastAsia" w:ascii="Times New Roman" w:hAnsi="Times New Roman" w:eastAsia="仿宋_GB2312" w:cs="Times New Roman"/>
          <w:sz w:val="32"/>
          <w:szCs w:val="32"/>
        </w:rPr>
        <w:t>元</w:t>
      </w:r>
    </w:p>
    <w:p w14:paraId="5C0DB9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18A8049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14:paraId="3425877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F79646"/>
          <w:sz w:val="32"/>
          <w:szCs w:val="32"/>
          <w:highlight w:val="none"/>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14:paraId="36581A3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14:paraId="4F20FF35">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14:paraId="1FB2F54E">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14:paraId="71DA25C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14:paraId="455165A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14:paraId="2228C8E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r>
        <w:rPr>
          <w:rFonts w:hint="default" w:ascii="Times New Roman" w:hAnsi="Times New Roman" w:eastAsia="仿宋_GB2312" w:cs="Times New Roman"/>
          <w:b w:val="0"/>
          <w:bCs w:val="0"/>
          <w:color w:val="000000"/>
          <w:sz w:val="32"/>
          <w:szCs w:val="32"/>
        </w:rPr>
        <w:t>。</w:t>
      </w:r>
    </w:p>
    <w:p w14:paraId="43071DCD">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文字表达能力</w:t>
      </w:r>
      <w:r>
        <w:rPr>
          <w:rFonts w:hint="default" w:ascii="Times New Roman" w:hAnsi="Times New Roman" w:eastAsia="仿宋_GB2312" w:cs="Times New Roman"/>
          <w:b w:val="0"/>
          <w:bCs w:val="0"/>
          <w:color w:val="000000"/>
          <w:sz w:val="32"/>
          <w:szCs w:val="32"/>
        </w:rPr>
        <w:t>——熟练使用指定的语种，对事件、观点进行准确合理的说明、陈述或阐释。</w:t>
      </w:r>
    </w:p>
    <w:p w14:paraId="59B324F9">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14:paraId="062E844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作答要求</w:t>
      </w:r>
    </w:p>
    <w:p w14:paraId="2C3D7C67">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14:paraId="4CFAE2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14:paraId="33E2B231">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14:paraId="4DC3E5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14:paraId="4F611B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p w14:paraId="6427BC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222EF225">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7C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C57E8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BC57E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64499"/>
    <w:rsid w:val="3BBB1074"/>
    <w:rsid w:val="4506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2025-01-06T01:37:00Z</dcterms:created>
  <dc:creator>A</dc:creator>
  <cp:lastModifiedBy>A</cp:lastModifiedBy>
  <dcterms:modified xsi:type="dcterms:W3CDTF">2025-01-06T01:37:42Z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31A88925C7EA46479D7E4F007619BAC1_11</vt:lpwstr>
  </property>
  <property fmtid="{D5CDD505-2E9C-101B-9397-08002B2CF9AE}" pid="4" name="KSOTemplateDocerSaveRecord">
    <vt:lpwstr>eyJoZGlkIjoiZTNiMmJjMGUyMDNhMGI0MjllZTc4OTE3ODRjOTBjMWQiLCJ1c2VySWQiOiI1MDczOTU1MzYifQ==</vt:lpwstr>
  </property>
</Properties>
</file>